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B2879" w14:textId="77777777" w:rsidR="00D816AF" w:rsidRDefault="00D816AF" w:rsidP="009906CA">
      <w:pPr>
        <w:pStyle w:val="Title"/>
        <w:suppressLineNumbers/>
      </w:pPr>
      <w:r>
        <w:t xml:space="preserve">COUNTY COUNCIL OF PRINCE GEORGE'S COUNTY, </w:t>
      </w:r>
      <w:smartTag w:uri="urn:schemas-microsoft-com:office:smarttags" w:element="place">
        <w:smartTag w:uri="urn:schemas-microsoft-com:office:smarttags" w:element="State">
          <w:r>
            <w:t>MARYLAND</w:t>
          </w:r>
        </w:smartTag>
      </w:smartTag>
    </w:p>
    <w:p w14:paraId="41CC928F" w14:textId="543DADCF" w:rsidR="00D816AF" w:rsidRDefault="00EE7213" w:rsidP="009906CA">
      <w:pPr>
        <w:suppressLineNumbers/>
        <w:jc w:val="center"/>
        <w:rPr>
          <w:b/>
        </w:rPr>
      </w:pPr>
      <w:r>
        <w:rPr>
          <w:b/>
          <w:noProof/>
        </w:rPr>
        <mc:AlternateContent>
          <mc:Choice Requires="wps">
            <w:drawing>
              <wp:anchor distT="0" distB="0" distL="114300" distR="114300" simplePos="0" relativeHeight="251657728" behindDoc="0" locked="0" layoutInCell="0" allowOverlap="1" wp14:anchorId="5BC700E7" wp14:editId="1E2664B6">
                <wp:simplePos x="0" y="0"/>
                <wp:positionH relativeFrom="column">
                  <wp:posOffset>7223760</wp:posOffset>
                </wp:positionH>
                <wp:positionV relativeFrom="paragraph">
                  <wp:posOffset>185420</wp:posOffset>
                </wp:positionV>
                <wp:extent cx="91440" cy="9144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txbx>
                        <w:txbxContent>
                          <w:p w14:paraId="09A6414D" w14:textId="77777777" w:rsidR="00D816AF" w:rsidRDefault="00D816AF">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C700E7" id="_x0000_t202" coordsize="21600,21600" o:spt="202" path="m,l,21600r21600,l21600,xe">
                <v:stroke joinstyle="miter"/>
                <v:path gradientshapeok="t" o:connecttype="rect"/>
              </v:shapetype>
              <v:shape id="Text Box 2" o:spid="_x0000_s1026" type="#_x0000_t202" style="position:absolute;left:0;text-align:left;margin-left:568.8pt;margin-top:14.6pt;width:7.2pt;height:7.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" o:allowincell="f">
                <v:textbox>
                  <w:txbxContent>
                    <w:p w14:paraId="09A6414D" w14:textId="77777777" w:rsidR="00D816AF" w:rsidRDefault="00D816AF">
                      <w:r>
                        <w:t xml:space="preserve">  </w:t>
                      </w:r>
                    </w:p>
                  </w:txbxContent>
                </v:textbox>
              </v:shape>
            </w:pict>
          </mc:Fallback>
        </mc:AlternateContent>
      </w:r>
      <w:r>
        <w:rPr>
          <w:b/>
        </w:rPr>
        <w:t>202</w:t>
      </w:r>
      <w:r w:rsidR="00301C0D">
        <w:rPr>
          <w:b/>
        </w:rPr>
        <w:t>6</w:t>
      </w:r>
      <w:r w:rsidR="00D816AF">
        <w:rPr>
          <w:b/>
        </w:rPr>
        <w:t xml:space="preserve"> Legislative Session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90"/>
        <w:gridCol w:w="94"/>
        <w:gridCol w:w="536"/>
        <w:gridCol w:w="6930"/>
        <w:gridCol w:w="8"/>
      </w:tblGrid>
      <w:tr w:rsidR="009C799F" w14:paraId="2100E688" w14:textId="77777777">
        <w:trPr>
          <w:trHeight w:val="440"/>
        </w:trPr>
        <w:tc>
          <w:tcPr>
            <w:tcW w:w="1714" w:type="dxa"/>
            <w:gridSpan w:val="3"/>
            <w:tcBorders>
              <w:top w:val="nil"/>
              <w:left w:val="nil"/>
              <w:bottom w:val="nil"/>
              <w:right w:val="nil"/>
            </w:tcBorders>
            <w:vAlign w:val="bottom"/>
          </w:tcPr>
          <w:p w14:paraId="601F414D" w14:textId="77777777" w:rsidR="009C799F" w:rsidRDefault="009C799F" w:rsidP="009906CA">
            <w:pPr>
              <w:pStyle w:val="Title-Table"/>
              <w:suppressLineNumbers/>
              <w:spacing w:line="240" w:lineRule="auto"/>
              <w:rPr>
                <w:noProof/>
                <w:snapToGrid/>
              </w:rPr>
            </w:pPr>
            <w:r>
              <w:rPr>
                <w:noProof/>
                <w:snapToGrid/>
              </w:rPr>
              <w:t>Resolution No.</w:t>
            </w:r>
          </w:p>
        </w:tc>
        <w:tc>
          <w:tcPr>
            <w:tcW w:w="7474" w:type="dxa"/>
            <w:gridSpan w:val="3"/>
            <w:tcBorders>
              <w:top w:val="nil"/>
              <w:left w:val="nil"/>
              <w:bottom w:val="single" w:sz="6" w:space="0" w:color="auto"/>
              <w:right w:val="nil"/>
            </w:tcBorders>
            <w:vAlign w:val="bottom"/>
          </w:tcPr>
          <w:p w14:paraId="2A192082" w14:textId="77CC3076" w:rsidR="009C799F" w:rsidRDefault="009C799F" w:rsidP="009906CA">
            <w:pPr>
              <w:pStyle w:val="Title-Table"/>
              <w:suppressLineNumbers/>
              <w:spacing w:line="240" w:lineRule="auto"/>
            </w:pPr>
            <w:r>
              <w:tab/>
            </w:r>
            <w:r>
              <w:tab/>
            </w:r>
            <w:r>
              <w:tab/>
              <w:t>CR-</w:t>
            </w:r>
            <w:r w:rsidR="00D52B40">
              <w:t>074</w:t>
            </w:r>
            <w:r>
              <w:t>-</w:t>
            </w:r>
            <w:r w:rsidR="00EE7213">
              <w:t>202</w:t>
            </w:r>
            <w:r w:rsidR="00301C0D">
              <w:t>6</w:t>
            </w:r>
          </w:p>
        </w:tc>
      </w:tr>
      <w:tr w:rsidR="00D816AF" w14:paraId="03D58599" w14:textId="77777777" w:rsidTr="002016B5">
        <w:trPr>
          <w:gridAfter w:val="1"/>
          <w:wAfter w:w="8" w:type="dxa"/>
          <w:trHeight w:val="440"/>
        </w:trPr>
        <w:tc>
          <w:tcPr>
            <w:tcW w:w="1530" w:type="dxa"/>
            <w:tcBorders>
              <w:top w:val="nil"/>
              <w:left w:val="nil"/>
              <w:bottom w:val="nil"/>
              <w:right w:val="nil"/>
            </w:tcBorders>
            <w:vAlign w:val="bottom"/>
          </w:tcPr>
          <w:p w14:paraId="3A98B7F0" w14:textId="77777777" w:rsidR="00D816AF" w:rsidRDefault="00D816AF" w:rsidP="009906CA">
            <w:pPr>
              <w:pStyle w:val="Title-Table"/>
              <w:suppressLineNumbers/>
              <w:spacing w:line="240" w:lineRule="auto"/>
            </w:pPr>
            <w:r>
              <w:t>Proposed by</w:t>
            </w:r>
          </w:p>
        </w:tc>
        <w:tc>
          <w:tcPr>
            <w:tcW w:w="7650" w:type="dxa"/>
            <w:gridSpan w:val="4"/>
            <w:tcBorders>
              <w:top w:val="nil"/>
              <w:left w:val="nil"/>
              <w:bottom w:val="single" w:sz="6" w:space="0" w:color="auto"/>
              <w:right w:val="nil"/>
            </w:tcBorders>
            <w:vAlign w:val="bottom"/>
          </w:tcPr>
          <w:p w14:paraId="0FD54570" w14:textId="6A6065AE" w:rsidR="00D816AF" w:rsidRDefault="002016B5" w:rsidP="009906CA">
            <w:pPr>
              <w:pStyle w:val="Title-Table"/>
              <w:suppressLineNumbers/>
              <w:spacing w:line="240" w:lineRule="auto"/>
            </w:pPr>
            <w:r>
              <w:tab/>
              <w:t xml:space="preserve">   </w:t>
            </w:r>
            <w:r w:rsidRPr="002016B5">
              <w:t>The Chair (by request - County Executive)</w:t>
            </w:r>
          </w:p>
        </w:tc>
      </w:tr>
      <w:tr w:rsidR="00D816AF" w14:paraId="442428F1" w14:textId="77777777">
        <w:trPr>
          <w:gridAfter w:val="1"/>
          <w:wAfter w:w="8" w:type="dxa"/>
          <w:trHeight w:val="440"/>
        </w:trPr>
        <w:tc>
          <w:tcPr>
            <w:tcW w:w="1620" w:type="dxa"/>
            <w:gridSpan w:val="2"/>
            <w:tcBorders>
              <w:top w:val="nil"/>
              <w:left w:val="nil"/>
              <w:bottom w:val="nil"/>
              <w:right w:val="nil"/>
            </w:tcBorders>
            <w:vAlign w:val="bottom"/>
          </w:tcPr>
          <w:p w14:paraId="317302FE" w14:textId="77777777" w:rsidR="00D816AF" w:rsidRDefault="00D816AF" w:rsidP="009906CA">
            <w:pPr>
              <w:pStyle w:val="Title-Table"/>
              <w:suppressLineNumbers/>
              <w:spacing w:line="240" w:lineRule="auto"/>
              <w:rPr>
                <w:noProof/>
                <w:snapToGrid/>
              </w:rPr>
            </w:pPr>
            <w:r>
              <w:t>Introduced by</w:t>
            </w:r>
          </w:p>
        </w:tc>
        <w:tc>
          <w:tcPr>
            <w:tcW w:w="7560" w:type="dxa"/>
            <w:gridSpan w:val="3"/>
            <w:tcBorders>
              <w:top w:val="nil"/>
              <w:left w:val="nil"/>
              <w:bottom w:val="nil"/>
              <w:right w:val="nil"/>
            </w:tcBorders>
            <w:vAlign w:val="bottom"/>
          </w:tcPr>
          <w:p w14:paraId="24469DE5" w14:textId="1B680A2D" w:rsidR="00D816AF" w:rsidRDefault="00F74285" w:rsidP="009906CA">
            <w:pPr>
              <w:pStyle w:val="Title-Table"/>
              <w:suppressLineNumbers/>
              <w:spacing w:line="240" w:lineRule="auto"/>
            </w:pPr>
            <w:r w:rsidRPr="00F74285">
              <w:t xml:space="preserve">Council Members </w:t>
            </w:r>
            <w:proofErr w:type="spellStart"/>
            <w:r w:rsidRPr="00F74285">
              <w:t>Oriadha</w:t>
            </w:r>
            <w:proofErr w:type="spellEnd"/>
            <w:r w:rsidRPr="00F74285">
              <w:t>, Fisher, Adams and Adams-Stafford</w:t>
            </w:r>
          </w:p>
        </w:tc>
      </w:tr>
      <w:tr w:rsidR="00D816AF" w14:paraId="4E0221BF" w14:textId="77777777">
        <w:trPr>
          <w:gridAfter w:val="1"/>
          <w:wAfter w:w="8" w:type="dxa"/>
          <w:trHeight w:val="440"/>
        </w:trPr>
        <w:tc>
          <w:tcPr>
            <w:tcW w:w="1620" w:type="dxa"/>
            <w:gridSpan w:val="2"/>
            <w:tcBorders>
              <w:top w:val="nil"/>
              <w:left w:val="nil"/>
              <w:bottom w:val="nil"/>
              <w:right w:val="nil"/>
            </w:tcBorders>
            <w:vAlign w:val="bottom"/>
          </w:tcPr>
          <w:p w14:paraId="3A437BB8" w14:textId="77777777" w:rsidR="00D816AF" w:rsidRDefault="00D816AF" w:rsidP="009906CA">
            <w:pPr>
              <w:pStyle w:val="Title-Table"/>
              <w:suppressLineNumbers/>
              <w:spacing w:line="240" w:lineRule="auto"/>
              <w:rPr>
                <w:noProof/>
                <w:snapToGrid/>
              </w:rPr>
            </w:pPr>
            <w:r>
              <w:t>Co-Sponsors</w:t>
            </w:r>
          </w:p>
        </w:tc>
        <w:tc>
          <w:tcPr>
            <w:tcW w:w="7560" w:type="dxa"/>
            <w:gridSpan w:val="3"/>
            <w:tcBorders>
              <w:top w:val="single" w:sz="6" w:space="0" w:color="auto"/>
              <w:left w:val="nil"/>
              <w:bottom w:val="single" w:sz="6" w:space="0" w:color="auto"/>
              <w:right w:val="nil"/>
            </w:tcBorders>
            <w:vAlign w:val="bottom"/>
          </w:tcPr>
          <w:p w14:paraId="49EE1756" w14:textId="77777777" w:rsidR="00D816AF" w:rsidRDefault="00D816AF" w:rsidP="009906CA">
            <w:pPr>
              <w:pStyle w:val="Title-Table"/>
              <w:suppressLineNumbers/>
              <w:spacing w:line="240" w:lineRule="auto"/>
            </w:pPr>
          </w:p>
        </w:tc>
      </w:tr>
      <w:tr w:rsidR="009C799F" w14:paraId="7DCB862A" w14:textId="77777777">
        <w:trPr>
          <w:gridAfter w:val="1"/>
          <w:wAfter w:w="8" w:type="dxa"/>
          <w:trHeight w:val="440"/>
        </w:trPr>
        <w:tc>
          <w:tcPr>
            <w:tcW w:w="2250" w:type="dxa"/>
            <w:gridSpan w:val="4"/>
            <w:tcBorders>
              <w:top w:val="nil"/>
              <w:left w:val="nil"/>
              <w:bottom w:val="nil"/>
              <w:right w:val="nil"/>
            </w:tcBorders>
            <w:vAlign w:val="bottom"/>
          </w:tcPr>
          <w:p w14:paraId="42D57E9E" w14:textId="77777777" w:rsidR="009C799F" w:rsidRDefault="009C799F" w:rsidP="009906CA">
            <w:pPr>
              <w:pStyle w:val="Title-Table"/>
              <w:suppressLineNumbers/>
              <w:spacing w:line="240" w:lineRule="auto"/>
            </w:pPr>
            <w:r>
              <w:t>Date of Introduction</w:t>
            </w:r>
          </w:p>
        </w:tc>
        <w:tc>
          <w:tcPr>
            <w:tcW w:w="6930" w:type="dxa"/>
            <w:tcBorders>
              <w:top w:val="nil"/>
              <w:left w:val="nil"/>
              <w:bottom w:val="single" w:sz="6" w:space="0" w:color="auto"/>
              <w:right w:val="nil"/>
            </w:tcBorders>
            <w:vAlign w:val="bottom"/>
          </w:tcPr>
          <w:p w14:paraId="13675243" w14:textId="14C77CF1" w:rsidR="009C799F" w:rsidRDefault="009C799F" w:rsidP="009906CA">
            <w:pPr>
              <w:pStyle w:val="Title-Table"/>
              <w:suppressLineNumbers/>
              <w:spacing w:line="240" w:lineRule="auto"/>
            </w:pPr>
            <w:r>
              <w:tab/>
            </w:r>
            <w:r>
              <w:tab/>
            </w:r>
            <w:r w:rsidR="002016B5">
              <w:t xml:space="preserve">  July 21, 2026</w:t>
            </w:r>
          </w:p>
        </w:tc>
      </w:tr>
    </w:tbl>
    <w:p w14:paraId="03E6F172" w14:textId="77777777" w:rsidR="00D816AF" w:rsidRDefault="00D816AF" w:rsidP="009906CA">
      <w:pPr>
        <w:suppressLineNumbers/>
        <w:spacing w:line="240" w:lineRule="auto"/>
      </w:pPr>
    </w:p>
    <w:p w14:paraId="4DC96360" w14:textId="77777777" w:rsidR="00D816AF" w:rsidRDefault="00D816AF" w:rsidP="009906CA">
      <w:pPr>
        <w:suppressLineNumbers/>
        <w:jc w:val="center"/>
      </w:pPr>
      <w:r>
        <w:rPr>
          <w:b/>
        </w:rPr>
        <w:t>RESOLUTION</w:t>
      </w:r>
    </w:p>
    <w:p w14:paraId="41F64639" w14:textId="77777777" w:rsidR="00D816AF" w:rsidRDefault="00D816AF">
      <w:r>
        <w:t>A RESOLUTION concerning</w:t>
      </w:r>
    </w:p>
    <w:p w14:paraId="1FF0C536" w14:textId="2EA8A1D4" w:rsidR="00D816AF" w:rsidRDefault="005C6891">
      <w:pPr>
        <w:jc w:val="center"/>
      </w:pPr>
      <w:r w:rsidRPr="002016B5">
        <w:t>National Harbor Extra</w:t>
      </w:r>
      <w:r w:rsidR="00BF7F63" w:rsidRPr="002016B5">
        <w:t>o</w:t>
      </w:r>
      <w:r w:rsidRPr="002016B5">
        <w:t>rdinary Development District</w:t>
      </w:r>
    </w:p>
    <w:p w14:paraId="72CA6D8C" w14:textId="73202E51" w:rsidR="00D816AF" w:rsidRDefault="00D816AF">
      <w:r>
        <w:t xml:space="preserve">For the purpose of </w:t>
      </w:r>
      <w:r w:rsidR="005C6891" w:rsidRPr="002016B5">
        <w:t xml:space="preserve">designating an area within Prince George’s County, Maryland (the “County”) as an “extraordinary development district” as that term is used in Sections 12-201 through 12-213, inclusive, of the Economic Development Article of the Annotated Code of Maryland, as amended through the 2026 Maryland General Assembly Regular Session (the “Tax Increment Financing Act”), and as that term is used in Sections 18-301 through 18-310, inclusive, of the Land Use Article of the Annotated Code of Maryland, as amended through the 2026 Maryland General Assembly Regular Session (the “M-NCPPC Taxes Act”), such extraordinary development district to be known as the “National Harbor Extraordinary Development District” and to be located entirely within a portion of the existing development district known as the “National Harbor Development District” that was established pursuant to County Resolution No. CR-25-2004 in an unincorporated area of the County known as Oxon Hill, Maryland on the shores of the Potomac River; providing for, and determining, various matters in connection with the establishment of an extraordinary development district; creating a special fund with respect to the extraordinary development district; allocating Park, Recreation and Administrative Taxes (hereinafter defined) with respect to the extraordinary development district to be paid over to the special fund as provided in a written agreement to be entered into between the County and the Maryland-National Capital Park and Planning Commission (the “Commission”) pursuant to the M-NCPPC Taxes Act; making certain findings and determinations with respect to the special fund and the uses of such fund; providing that special obligation bonds may be issued from time to time pursuant to an ordinance or ordinances enacted in accordance with the Tax Increment </w:t>
      </w:r>
      <w:r w:rsidR="005C6891" w:rsidRPr="002016B5">
        <w:lastRenderedPageBreak/>
        <w:t xml:space="preserve">Financing Act and the M-NCPPC Taxes Act and secured by, inter alia, the special fund; and generally relating to the National Harbor Extraordinary Development District.  </w:t>
      </w:r>
    </w:p>
    <w:p w14:paraId="35BA83D4" w14:textId="77777777" w:rsidR="005C6891" w:rsidRPr="002016B5" w:rsidRDefault="00D816AF">
      <w:pPr>
        <w:tabs>
          <w:tab w:val="clear" w:pos="3053"/>
          <w:tab w:val="left" w:pos="3052"/>
        </w:tabs>
      </w:pPr>
      <w:r>
        <w:tab/>
        <w:t xml:space="preserve">WHEREAS, </w:t>
      </w:r>
      <w:r w:rsidR="005C6891" w:rsidRPr="002016B5">
        <w:t>the Tax Increment Financing Act constitutes those provisions of Maryland law authorizing the County to establish an “extraordinary development district” (as that term is used in the Tax Increment Financing Act and the M-NCPPC Taxes Act) and a special fund into which the taxes representing the levy of Park, Recreation and Administrative Taxes for the Extraordinary Development District (hereinafter defined) are deposited; and</w:t>
      </w:r>
    </w:p>
    <w:p w14:paraId="11B6DB20" w14:textId="00BD4D85" w:rsidR="005C6891" w:rsidRPr="002016B5" w:rsidRDefault="005C6891">
      <w:pPr>
        <w:tabs>
          <w:tab w:val="clear" w:pos="3053"/>
          <w:tab w:val="left" w:pos="3052"/>
        </w:tabs>
      </w:pPr>
      <w:bookmarkStart w:id="0" w:name="_Hlk229402463"/>
      <w:r>
        <w:tab/>
        <w:t xml:space="preserve">WHEREAS, </w:t>
      </w:r>
      <w:r w:rsidRPr="002016B5">
        <w:t>the</w:t>
      </w:r>
      <w:bookmarkEnd w:id="0"/>
      <w:r w:rsidRPr="002016B5">
        <w:t xml:space="preserve"> owners of the real property in the proposed National Harbor Extraordinary Development District plan to construct an entertainment venue that is owned by a private entity, has at least 3,000 seats, has an aggregate development cost of at least $500,000,000, and has an immersive experience with advanced display technology, including 4D visual effects and spherical LED screens; and</w:t>
      </w:r>
    </w:p>
    <w:p w14:paraId="6E80EBA6" w14:textId="7D07738E" w:rsidR="005C6891" w:rsidRPr="002016B5" w:rsidRDefault="005C6891">
      <w:pPr>
        <w:tabs>
          <w:tab w:val="clear" w:pos="3053"/>
          <w:tab w:val="left" w:pos="3052"/>
        </w:tabs>
      </w:pPr>
      <w:r>
        <w:tab/>
        <w:t xml:space="preserve">WHEREAS, </w:t>
      </w:r>
      <w:r w:rsidRPr="002016B5">
        <w:t>such development will further economic development within the County and thus meet the public purposes contemplated by the Tax Increment Financing Act; and</w:t>
      </w:r>
    </w:p>
    <w:p w14:paraId="34FFC9A8" w14:textId="3394A6EE" w:rsidR="005C6891" w:rsidRPr="002016B5" w:rsidRDefault="005C6891">
      <w:pPr>
        <w:tabs>
          <w:tab w:val="clear" w:pos="3053"/>
          <w:tab w:val="left" w:pos="3052"/>
        </w:tabs>
      </w:pPr>
      <w:r>
        <w:tab/>
        <w:t xml:space="preserve">WHEREAS, </w:t>
      </w:r>
      <w:r w:rsidRPr="002016B5">
        <w:t>the County expects the Commission will agree to pledge receipts from Park, Recreation and Administrative Taxes and to deposit such Park, Recreation and Administrative Taxes into the special fund, as more specifically provided for herein; and</w:t>
      </w:r>
    </w:p>
    <w:p w14:paraId="5296E3C8" w14:textId="33E3D68A" w:rsidR="005C6891" w:rsidRPr="002016B5" w:rsidRDefault="005C6891">
      <w:pPr>
        <w:tabs>
          <w:tab w:val="clear" w:pos="3053"/>
          <w:tab w:val="left" w:pos="3052"/>
        </w:tabs>
      </w:pPr>
      <w:r>
        <w:tab/>
        <w:t xml:space="preserve">WHEREAS, </w:t>
      </w:r>
      <w:r w:rsidRPr="002016B5">
        <w:t>the Tax Increment Financing Act authorizes the County to issue special obligation bonds from time to time for the purpose of providing funds to be used to fulfill one or more of the purposes of said Act and the M-NCPPC Taxes Act authorizes the Commission to transfer to the County such Park, Recreation and Administrative Taxes to pay debt service on such special obligation bonds; and</w:t>
      </w:r>
    </w:p>
    <w:p w14:paraId="059DE442" w14:textId="3E3951EC" w:rsidR="005C6891" w:rsidRPr="002016B5" w:rsidRDefault="005C6891">
      <w:pPr>
        <w:tabs>
          <w:tab w:val="clear" w:pos="3053"/>
          <w:tab w:val="left" w:pos="3052"/>
        </w:tabs>
      </w:pPr>
      <w:r>
        <w:tab/>
        <w:t xml:space="preserve">WHEREAS, </w:t>
      </w:r>
      <w:r w:rsidRPr="002016B5">
        <w:t>the County expects to issue special obligation bonds in one or more series to finance, among other things, the development of an Immersive Entertainment Venue (as defined in the Tax Increment Financing Act) within the National Harbor Extraordinary Development District and refinance outstanding prior bonds issued with respect to the existing National Harbor Development District; and</w:t>
      </w:r>
    </w:p>
    <w:p w14:paraId="0D802657" w14:textId="4A5615EE" w:rsidR="005C6891" w:rsidRPr="002016B5" w:rsidRDefault="005C6891">
      <w:pPr>
        <w:tabs>
          <w:tab w:val="clear" w:pos="3053"/>
          <w:tab w:val="left" w:pos="3052"/>
        </w:tabs>
      </w:pPr>
      <w:r>
        <w:tab/>
        <w:t xml:space="preserve">WHEREAS, </w:t>
      </w:r>
      <w:r w:rsidRPr="002016B5">
        <w:t xml:space="preserve">if the County issues its special obligation bonds upon enactment of an ordinance or ordinances such ordinance or ordinances will provide that the special obligation bonds shall be secured by, inter alia, a pledge of the Park, Recreation and Administrative Taxes as more specifically provided for herein and tax increment available with respect to the National </w:t>
      </w:r>
      <w:r w:rsidRPr="002016B5">
        <w:lastRenderedPageBreak/>
        <w:t>Harbor Development District as set forth in County Resolution No. CR-25-2004.</w:t>
      </w:r>
    </w:p>
    <w:p w14:paraId="1ADFFC87" w14:textId="19527D3A" w:rsidR="005C6891" w:rsidRPr="002016B5" w:rsidRDefault="00D816AF" w:rsidP="005C6891">
      <w:pPr>
        <w:tabs>
          <w:tab w:val="clear" w:pos="3053"/>
          <w:tab w:val="left" w:pos="3052"/>
        </w:tabs>
      </w:pPr>
      <w:r>
        <w:tab/>
      </w:r>
      <w:r w:rsidR="005C6891">
        <w:t>SECTION 1.</w:t>
      </w:r>
      <w:r w:rsidR="005C6891">
        <w:tab/>
      </w:r>
      <w:r>
        <w:t xml:space="preserve">NOW, THEREFORE, BE IT RESOLVED by the County Council of Prince George's County, Maryland, that </w:t>
      </w:r>
      <w:r w:rsidR="005C6891" w:rsidRPr="002016B5">
        <w:t>for the purposes of this Resolution, the terms defined in the recitals shall have the meanings therein set forth and, in addition, the following terms shall have the meanings set forth below:</w:t>
      </w:r>
    </w:p>
    <w:p w14:paraId="431A2D71" w14:textId="0B3FF486" w:rsidR="005C6891" w:rsidRPr="002016B5" w:rsidRDefault="005C6891" w:rsidP="005C6891">
      <w:pPr>
        <w:pStyle w:val="ListParagraph"/>
        <w:numPr>
          <w:ilvl w:val="0"/>
          <w:numId w:val="2"/>
        </w:numPr>
        <w:tabs>
          <w:tab w:val="clear" w:pos="3053"/>
          <w:tab w:val="left" w:pos="3052"/>
        </w:tabs>
      </w:pPr>
      <w:r w:rsidRPr="002016B5">
        <w:t>“Adjusted Assessable Base” means, for real property that qualifies for a farm or agricultural use under Section 8-209 of the Tax-Property Article, the fair market value of the property without regard to its agricultural use assessment as of January 1 of that year preceding the effective date of the resolution creating the Extraordinary Development District under Section 12-203 of the Tax Increment Financing Act.</w:t>
      </w:r>
    </w:p>
    <w:p w14:paraId="1F106EF7" w14:textId="44FEB0C1" w:rsidR="005C6891" w:rsidRPr="002016B5" w:rsidRDefault="005C6891" w:rsidP="005C6891">
      <w:pPr>
        <w:pStyle w:val="ListParagraph"/>
        <w:numPr>
          <w:ilvl w:val="0"/>
          <w:numId w:val="2"/>
        </w:numPr>
        <w:tabs>
          <w:tab w:val="clear" w:pos="3053"/>
          <w:tab w:val="left" w:pos="3052"/>
        </w:tabs>
      </w:pPr>
      <w:r w:rsidRPr="002016B5">
        <w:t>“Assessable Base” means the total assessable base of all real property in the Extraordinary Development District subject to taxation as determined by the Supervisor of Assessments</w:t>
      </w:r>
      <w:r w:rsidR="00496AA7" w:rsidRPr="002016B5">
        <w:t>.</w:t>
      </w:r>
    </w:p>
    <w:p w14:paraId="30C11A8E" w14:textId="430A0F8E" w:rsidR="00496AA7" w:rsidRPr="002016B5" w:rsidRDefault="00496AA7" w:rsidP="005C6891">
      <w:pPr>
        <w:pStyle w:val="ListParagraph"/>
        <w:numPr>
          <w:ilvl w:val="0"/>
          <w:numId w:val="2"/>
        </w:numPr>
        <w:tabs>
          <w:tab w:val="clear" w:pos="3053"/>
          <w:tab w:val="left" w:pos="3052"/>
        </w:tabs>
      </w:pPr>
      <w:r w:rsidRPr="002016B5">
        <w:t>“Assessment Ratio” means any real property tax assessment ratio, however designated or calculated, which is used or applied under applicable general law in determining the Assessable Base including the assessment percentage as provided under Section 8-103(c) of the Tax-Property Article.</w:t>
      </w:r>
    </w:p>
    <w:p w14:paraId="32AB96F6" w14:textId="744DAEC6" w:rsidR="00496AA7" w:rsidRPr="002016B5" w:rsidRDefault="00496AA7" w:rsidP="005C6891">
      <w:pPr>
        <w:pStyle w:val="ListParagraph"/>
        <w:numPr>
          <w:ilvl w:val="0"/>
          <w:numId w:val="2"/>
        </w:numPr>
        <w:tabs>
          <w:tab w:val="clear" w:pos="3053"/>
          <w:tab w:val="left" w:pos="3052"/>
        </w:tabs>
      </w:pPr>
      <w:r w:rsidRPr="002016B5">
        <w:t>“Bonds” includes any revenue bonds or bond, note or notes, or other similar instruments or instrument issued by the County pursuant to and in accordance with this Resolution, the Tax Increment Financing Act and the M-NCPPC Taxes Act.</w:t>
      </w:r>
    </w:p>
    <w:p w14:paraId="4DA4292D" w14:textId="4BBC301E" w:rsidR="00496AA7" w:rsidRPr="002016B5" w:rsidRDefault="00496AA7" w:rsidP="005C6891">
      <w:pPr>
        <w:pStyle w:val="ListParagraph"/>
        <w:numPr>
          <w:ilvl w:val="0"/>
          <w:numId w:val="2"/>
        </w:numPr>
        <w:tabs>
          <w:tab w:val="clear" w:pos="3053"/>
          <w:tab w:val="left" w:pos="3052"/>
        </w:tabs>
      </w:pPr>
      <w:r w:rsidRPr="002016B5">
        <w:t>“Extraordinary Development District” means the contiguous area in the County designated in Section 3 of this Resolution as an extraordinary development district under the Tax Increment Financing Act.</w:t>
      </w:r>
    </w:p>
    <w:p w14:paraId="39754BC9" w14:textId="162B7417" w:rsidR="00496AA7" w:rsidRPr="002016B5" w:rsidRDefault="00496AA7" w:rsidP="005C6891">
      <w:pPr>
        <w:pStyle w:val="ListParagraph"/>
        <w:numPr>
          <w:ilvl w:val="0"/>
          <w:numId w:val="2"/>
        </w:numPr>
        <w:tabs>
          <w:tab w:val="clear" w:pos="3053"/>
          <w:tab w:val="left" w:pos="3052"/>
        </w:tabs>
      </w:pPr>
      <w:r w:rsidRPr="002016B5">
        <w:t>“Original Assessable Base” means, the Assessable Base as of January 1, 2025, which is January 1 of the year preceding the effective date of this Resolution.</w:t>
      </w:r>
    </w:p>
    <w:p w14:paraId="65AEB2BF" w14:textId="085C8EFF" w:rsidR="00496AA7" w:rsidRPr="002016B5" w:rsidRDefault="00496AA7" w:rsidP="005C6891">
      <w:pPr>
        <w:pStyle w:val="ListParagraph"/>
        <w:numPr>
          <w:ilvl w:val="0"/>
          <w:numId w:val="2"/>
        </w:numPr>
        <w:tabs>
          <w:tab w:val="clear" w:pos="3053"/>
          <w:tab w:val="left" w:pos="3052"/>
        </w:tabs>
      </w:pPr>
      <w:r w:rsidRPr="002016B5">
        <w:t>“Original Full Cash Value” means the dollar amount which is determined by dividing the Original Assessable Base by the Assessment Ratio used to determine the Original Assessable Base.</w:t>
      </w:r>
    </w:p>
    <w:p w14:paraId="77C441E7" w14:textId="1925D09C" w:rsidR="00496AA7" w:rsidRPr="002016B5" w:rsidRDefault="00496AA7" w:rsidP="00496AA7">
      <w:pPr>
        <w:pStyle w:val="ListParagraph"/>
        <w:numPr>
          <w:ilvl w:val="0"/>
          <w:numId w:val="2"/>
        </w:numPr>
        <w:tabs>
          <w:tab w:val="clear" w:pos="3053"/>
          <w:tab w:val="left" w:pos="3052"/>
        </w:tabs>
      </w:pPr>
      <w:r w:rsidRPr="002016B5">
        <w:lastRenderedPageBreak/>
        <w:t>“Original Taxable Value” means, for any Tax Year, the dollar amount that is:</w:t>
      </w:r>
    </w:p>
    <w:p w14:paraId="7CCA8FFF" w14:textId="3AF2A191" w:rsidR="00496AA7" w:rsidRPr="002016B5" w:rsidRDefault="00496AA7" w:rsidP="00496AA7">
      <w:pPr>
        <w:pStyle w:val="ListParagraph"/>
        <w:numPr>
          <w:ilvl w:val="0"/>
          <w:numId w:val="3"/>
        </w:numPr>
        <w:tabs>
          <w:tab w:val="clear" w:pos="3053"/>
          <w:tab w:val="left" w:pos="3052"/>
        </w:tabs>
      </w:pPr>
      <w:r w:rsidRPr="002016B5">
        <w:t>the Adjusted Assessable Base, if an Adjusted Assessable Base applies; or</w:t>
      </w:r>
    </w:p>
    <w:p w14:paraId="21D018DA" w14:textId="3C745068" w:rsidR="00496AA7" w:rsidRPr="002016B5" w:rsidRDefault="00496AA7" w:rsidP="00496AA7">
      <w:pPr>
        <w:pStyle w:val="ListParagraph"/>
        <w:numPr>
          <w:ilvl w:val="0"/>
          <w:numId w:val="3"/>
        </w:numPr>
        <w:tabs>
          <w:tab w:val="clear" w:pos="3053"/>
          <w:tab w:val="left" w:pos="3052"/>
        </w:tabs>
      </w:pPr>
      <w:r>
        <w:t>all other cases, the lessor of:</w:t>
      </w:r>
    </w:p>
    <w:p w14:paraId="0DB74669" w14:textId="3EB9AB34" w:rsidR="00496AA7" w:rsidRPr="002016B5" w:rsidRDefault="00496AA7" w:rsidP="00496AA7">
      <w:pPr>
        <w:pStyle w:val="ListParagraph"/>
        <w:numPr>
          <w:ilvl w:val="1"/>
          <w:numId w:val="3"/>
        </w:numPr>
      </w:pPr>
      <w:r w:rsidRPr="002016B5">
        <w:t>The product of multiplying the Original Full Cash Value times the Assessment Ratio applicable to that Tax Year; or</w:t>
      </w:r>
    </w:p>
    <w:p w14:paraId="6DD79768" w14:textId="0867EDD6" w:rsidR="00496AA7" w:rsidRPr="002016B5" w:rsidRDefault="00496AA7" w:rsidP="00496AA7">
      <w:pPr>
        <w:pStyle w:val="ListParagraph"/>
        <w:numPr>
          <w:ilvl w:val="1"/>
          <w:numId w:val="3"/>
        </w:numPr>
      </w:pPr>
      <w:r w:rsidRPr="002016B5">
        <w:t>The Original Assessable Base;</w:t>
      </w:r>
    </w:p>
    <w:p w14:paraId="2F5C8722" w14:textId="4D32343D" w:rsidR="00496AA7" w:rsidRPr="002016B5" w:rsidRDefault="00496AA7" w:rsidP="00496AA7">
      <w:pPr>
        <w:pStyle w:val="ListParagraph"/>
        <w:numPr>
          <w:ilvl w:val="0"/>
          <w:numId w:val="2"/>
        </w:numPr>
        <w:tabs>
          <w:tab w:val="clear" w:pos="3053"/>
          <w:tab w:val="left" w:pos="3052"/>
        </w:tabs>
      </w:pPr>
      <w:r w:rsidRPr="002016B5">
        <w:t>“Park, Recreation and Administrative Taxes” means the real property taxes levied by the County under Sections 18-304, 18-306, and 18-307 of the Land Use Article of the Annotated Code of Maryland, with respect to the Tax Increment collected by the County from the National Harbor Development District.</w:t>
      </w:r>
    </w:p>
    <w:p w14:paraId="7206EAF2" w14:textId="1432D7E4" w:rsidR="005C6891" w:rsidRPr="002016B5" w:rsidRDefault="00496AA7" w:rsidP="00496AA7">
      <w:pPr>
        <w:pStyle w:val="ListParagraph"/>
        <w:numPr>
          <w:ilvl w:val="0"/>
          <w:numId w:val="2"/>
        </w:numPr>
        <w:tabs>
          <w:tab w:val="clear" w:pos="3053"/>
          <w:tab w:val="left" w:pos="3052"/>
        </w:tabs>
      </w:pPr>
      <w:r w:rsidRPr="002016B5">
        <w:t>“PRA Agreement” means a written agreement to be entered into between the County and the Commission with respect to the payment and pledge as security for the Bonds of all or a portion of the Park, Recreation and Administrative Taxes on the Tax Increment in the National Harbor Extraordinary Development District, as authorized by Section 12-210(a)(3) of the Tax Increment Financing Act and Section 18-310 of the M-NCPPC Taxes Act.</w:t>
      </w:r>
    </w:p>
    <w:p w14:paraId="33B5388F" w14:textId="79DCFDE6" w:rsidR="00496AA7" w:rsidRPr="002016B5" w:rsidRDefault="00496AA7" w:rsidP="00496AA7">
      <w:pPr>
        <w:pStyle w:val="ListParagraph"/>
        <w:numPr>
          <w:ilvl w:val="0"/>
          <w:numId w:val="2"/>
        </w:numPr>
        <w:tabs>
          <w:tab w:val="clear" w:pos="3053"/>
          <w:tab w:val="left" w:pos="3052"/>
        </w:tabs>
      </w:pPr>
      <w:r w:rsidRPr="002016B5">
        <w:t>“Tax Increment” means, solely for the purpose of determining the Park, Recreational and Administrative Taxes in the National Harbor Extraordinary Development District for any Tax Year, the amount by which the Assessable Base as of January 1 preceding that Tax Year exceeds the Original Taxable Value divided by the Assessment Ratio used to determine the Original Taxable Value.</w:t>
      </w:r>
    </w:p>
    <w:p w14:paraId="2B034C00" w14:textId="5AA7A186" w:rsidR="00496AA7" w:rsidRPr="002016B5" w:rsidRDefault="00496AA7" w:rsidP="00496AA7">
      <w:pPr>
        <w:pStyle w:val="ListParagraph"/>
        <w:numPr>
          <w:ilvl w:val="0"/>
          <w:numId w:val="2"/>
        </w:numPr>
        <w:tabs>
          <w:tab w:val="clear" w:pos="3053"/>
          <w:tab w:val="left" w:pos="3052"/>
        </w:tabs>
      </w:pPr>
      <w:r w:rsidRPr="002016B5">
        <w:t>“Special PRA Tax Fund” means the special fund established in Section 5 of this Resolution into which the Park, Recreation and Administrative Taxes are to be deposited pursuant to a written agreement between the County and the Commission as authorized by the M-NCPPC Taxes Act.</w:t>
      </w:r>
    </w:p>
    <w:p w14:paraId="5A5BF1F9" w14:textId="0194FA10" w:rsidR="00496AA7" w:rsidRPr="002016B5" w:rsidRDefault="00496AA7" w:rsidP="00496AA7">
      <w:pPr>
        <w:pStyle w:val="ListParagraph"/>
        <w:numPr>
          <w:ilvl w:val="0"/>
          <w:numId w:val="2"/>
        </w:numPr>
        <w:tabs>
          <w:tab w:val="clear" w:pos="3053"/>
          <w:tab w:val="left" w:pos="3052"/>
        </w:tabs>
      </w:pPr>
      <w:r w:rsidRPr="002016B5">
        <w:t>“Tax Year” means the period from July 1 of a calendar year through June 30th of the next calendar year.</w:t>
      </w:r>
    </w:p>
    <w:p w14:paraId="3453A72F" w14:textId="16EB3164" w:rsidR="00D816AF" w:rsidRPr="002016B5" w:rsidRDefault="00D816AF">
      <w:pPr>
        <w:tabs>
          <w:tab w:val="clear" w:pos="3053"/>
          <w:tab w:val="left" w:pos="3052"/>
        </w:tabs>
      </w:pPr>
      <w:r>
        <w:lastRenderedPageBreak/>
        <w:tab/>
      </w:r>
      <w:r w:rsidR="00496AA7">
        <w:t>SECTION 2.</w:t>
      </w:r>
      <w:r w:rsidR="00496AA7">
        <w:tab/>
      </w:r>
      <w:r>
        <w:t xml:space="preserve">BE IT FURTHER RESOLVED that </w:t>
      </w:r>
      <w:r w:rsidR="00496AA7" w:rsidRPr="002016B5">
        <w:t>acting pursuant to the Tax Increment Financing Act, it is hereby found and determined that the establishment of the Extraordinary Development District, the creation of the Special PRA Fund and the issuance of Bonds from time to time pursuant to the Tax Increment Financing Act and the M-NCPPC Taxes Act, all for the purpose of providing funds to finance costs permitted by the Tax Increment Financing Act and the M-NCPPC Taxes Act, accomplishes the public purposes of the Tax Increment Financing Act and generally promotes the health, welfare and safety of the residents of the State of Maryland and of the County.</w:t>
      </w:r>
    </w:p>
    <w:p w14:paraId="4AA6591D" w14:textId="5DC951BC" w:rsidR="006547F1" w:rsidRPr="002016B5" w:rsidRDefault="006547F1">
      <w:r>
        <w:tab/>
        <w:t>SECTION 3.</w:t>
      </w:r>
      <w:r>
        <w:tab/>
        <w:t xml:space="preserve">BE IT FURTHER RESOLVED that </w:t>
      </w:r>
      <w:r w:rsidRPr="002016B5">
        <w:t>a contiguous area of the County consisting of the real property set forth below is hereby designated as an “Extraordinary Development District” (to be known as the “National Harbor Extraordinary Development District”) pursuant to Section 12-203 of the Tax Increment Financing Act. The Extraordinary Development District shall consist of the property listed in Exhibit A of this Resolution and all adjoining roads, highways, alleys, rights of way, parks and other similar property in order to form a contiguous area as shown on the map attached hereto as Exhibit B and submitted to the County Council together with this Resolution.  The boundaries of the Development District may be modified prior to and after the issuance of the Bonds as provided in Section 4 of this Resolution.</w:t>
      </w:r>
    </w:p>
    <w:p w14:paraId="53A80DE7" w14:textId="33712E90" w:rsidR="006547F1" w:rsidRPr="002016B5" w:rsidRDefault="006547F1">
      <w:r>
        <w:tab/>
        <w:t>SECTION 4.</w:t>
      </w:r>
      <w:r>
        <w:tab/>
        <w:t xml:space="preserve">BE IT FURTHER RESOLVED that </w:t>
      </w:r>
      <w:r w:rsidRPr="002016B5">
        <w:t>prior to the issuance of the Bonds, the County Executive may, by executive order, reduce or enlarge the boundaries of the Extraordinary Development District by not more than five (5) acres.  After the issuance of the Bonds, the County Executive, by executive order, may enlarge the boundaries of the Extraordinary Development District but may not reduce the boundaries of the Extraordinary Development District so long as there are any Bonds outstanding pursuant to the Tax Increment Financing Act and this Resolution, unless the ordinance with respect to such Bonds permits the County to reduce the area constituting the Extraordinary Development District or the holders of the Bonds or a representative on their behalf consents to any such reduction.</w:t>
      </w:r>
    </w:p>
    <w:p w14:paraId="520DD0FB" w14:textId="0B6D723E" w:rsidR="006547F1" w:rsidRPr="002016B5" w:rsidRDefault="006547F1">
      <w:r>
        <w:tab/>
        <w:t>SECTION 5.</w:t>
      </w:r>
      <w:r>
        <w:tab/>
        <w:t xml:space="preserve">BE IT FURTHER RESOLVED that </w:t>
      </w:r>
      <w:r w:rsidRPr="002016B5">
        <w:t xml:space="preserve">there is hereby established a special fund to be designated the “National Harbor Extraordinary Development District Special PRA Tax Fund” (the “Special PRA Tax Fund”) with respect to the National Harbor Extraordinary Development District and the County Executive, Chief Administrative Officer and the Financial </w:t>
      </w:r>
      <w:r w:rsidRPr="002016B5">
        <w:lastRenderedPageBreak/>
        <w:t>Officer of the County are hereby directed and authorized to deposit in such Special PRA Tax Fund all taxes received by the County for any Tax Year commencing after the effective date of this Resolution equal to that portion of the taxes payable to the County (but not including any taxes payable to the State of Maryland or to any other party) representing the Park, Recreation and Administrative Taxes on the Tax Increment that would normally be paid to the Commission, as further described in the PRA Agreement.  The County Executive, the Chief Administrative Officer and the Financial Officer and other officers and employees of the County, to the extent applicable, are hereby authorized to take all necessary steps in order to establish a separate fund to be held by the County</w:t>
      </w:r>
    </w:p>
    <w:p w14:paraId="0FAB9C13" w14:textId="37D6640E" w:rsidR="006547F1" w:rsidRPr="002016B5" w:rsidRDefault="006547F1">
      <w:r>
        <w:tab/>
        <w:t>SECTION 6.</w:t>
      </w:r>
      <w:r>
        <w:tab/>
        <w:t xml:space="preserve">BE IT FURTHER RESOLVED that </w:t>
      </w:r>
      <w:r w:rsidRPr="002016B5">
        <w:t>Bonds may be issued from time to time pursuant to an ordinance or ordinances enacted in accordance with the Tax Increment Financing Act and the M-NCPPC Taxes Act for the purpose of providing funds for the financing of projects permitted by Tax Increment Financing Act and the M-NCPPC Taxes Act.  Such ordinance or ordinances shall specify, in general detail, the proposed undertaking to be financed with the proceeds of the Bonds and shall otherwise conform to the requirements of the Tax Increment Financing Act, the M-NCPPC Taxes Act and this Resolution.</w:t>
      </w:r>
    </w:p>
    <w:p w14:paraId="21FD9C70" w14:textId="037FA825" w:rsidR="006547F1" w:rsidRPr="002016B5" w:rsidRDefault="006547F1">
      <w:r>
        <w:tab/>
        <w:t>SECTION 7.</w:t>
      </w:r>
      <w:r>
        <w:tab/>
        <w:t xml:space="preserve">BE IT FURTHER RESOLVED that </w:t>
      </w:r>
      <w:r w:rsidRPr="002016B5">
        <w:t xml:space="preserve">the County hereby covenants and pledges that if any Bonds issued under the Tax Increment Act with respect to the Extraordinary Development District are outstanding, the County and the Commission shall agree, as provided in the PRA Agreement, that the Park, Recreation and Administrative Taxes levied on real property within the Extraordinary Development District shall be divided so that (i) that portion of such taxes which would be produced by the rate at which taxes levied each year by the County upon the Original Taxable Value shall be allocated to and when collected paid into the funds of the Commission in the same manner as such taxes by or for the Commission on all other real property are paid and (ii) that portion of such taxes representing the levy on the Tax Increment that would normally be paid to the Commission (but not including any taxes payable to the State of Maryland or to any other party) shall be paid into the Special PRA Fund established hereunder to be applied in accordance with the provisions of Section 12-209 of the Tax Increment Financing Act.  The County acknowledges that neither the rate at which taxes are levied on real property within the Extraordinary Development District nor the manner of assessment of the value of real property within the Extraordinary Development District is to vary from the rate or </w:t>
      </w:r>
      <w:r w:rsidRPr="002016B5">
        <w:lastRenderedPageBreak/>
        <w:t>manner of assessment that otherwise would have applied if the Extraordinary Development District were not designated and the Special PRA Fund not created, except to the extent that a specific valuation adjustment is mandated by the Tax Increment Financing Act for real property that qualifies for farm or agricultural use.</w:t>
      </w:r>
    </w:p>
    <w:p w14:paraId="4A752458" w14:textId="6AB47279" w:rsidR="006547F1" w:rsidRPr="002016B5" w:rsidRDefault="006547F1">
      <w:r>
        <w:tab/>
        <w:t>SECTION 8.</w:t>
      </w:r>
      <w:r>
        <w:tab/>
        <w:t xml:space="preserve">BE IT FURTHER RESOLVED that </w:t>
      </w:r>
      <w:r w:rsidRPr="002016B5">
        <w:t xml:space="preserve">the provisions of this Resolution are severable, and if any provision, sentence, clause, section or part hereof is held or determined to be illegal, invalid or unconstitutional or inapplicable to any person or circumstances, such illegality, invalidity or unconstitutionality or inapplicability shall not affect or impair any of the remaining provisions, sentences, clauses, sections or parts of this Resolution or their application to other persons or circumstances.  It is hereby declared to be the legislative intent that this Resolution would have been passed if such illegal, invalid, unconstitutional or inapplicable provision, sentence, clause, section or part had not been included herein, and as if the person or circumstances to which this Resolution or any part hereof are inapplicable had been specifically exempted </w:t>
      </w:r>
      <w:proofErr w:type="spellStart"/>
      <w:r w:rsidRPr="002016B5">
        <w:t>herefrom</w:t>
      </w:r>
      <w:proofErr w:type="spellEnd"/>
      <w:r w:rsidRPr="002016B5">
        <w:t>.</w:t>
      </w:r>
    </w:p>
    <w:p w14:paraId="08419529" w14:textId="7D90D149" w:rsidR="006547F1" w:rsidRPr="002016B5" w:rsidRDefault="006547F1">
      <w:pPr>
        <w:sectPr w:rsidR="006547F1" w:rsidRPr="002016B5">
          <w:headerReference w:type="default" r:id="rId7"/>
          <w:footerReference w:type="default" r:id="rId8"/>
          <w:headerReference w:type="first" r:id="rId9"/>
          <w:type w:val="continuous"/>
          <w:pgSz w:w="12240" w:h="15840" w:code="1"/>
          <w:pgMar w:top="1584" w:right="1152" w:bottom="1152" w:left="1728" w:header="864" w:footer="504" w:gutter="0"/>
          <w:lnNumType w:countBy="1" w:distance="432"/>
          <w:cols w:space="720"/>
          <w:titlePg/>
        </w:sectPr>
      </w:pPr>
      <w:r>
        <w:tab/>
        <w:t>SECTION 9.</w:t>
      </w:r>
      <w:r>
        <w:tab/>
        <w:t xml:space="preserve">BE IT FURTHER RESOLVED that </w:t>
      </w:r>
      <w:r w:rsidRPr="002016B5">
        <w:t>this Resolution is administrative in nature and shall take effect upon approval by the County Executive.</w:t>
      </w:r>
    </w:p>
    <w:p w14:paraId="57040CA0" w14:textId="0947550A" w:rsidR="00D816AF" w:rsidRDefault="00D816AF">
      <w:r>
        <w:tab/>
        <w:t xml:space="preserve">Adopted this </w:t>
      </w:r>
      <w:r>
        <w:rPr>
          <w:u w:val="single"/>
        </w:rPr>
        <w:t xml:space="preserve">          </w:t>
      </w:r>
      <w:r>
        <w:t xml:space="preserve"> day of </w:t>
      </w:r>
      <w:r>
        <w:rPr>
          <w:u w:val="single"/>
        </w:rPr>
        <w:t xml:space="preserve">                        </w:t>
      </w:r>
      <w:r>
        <w:t xml:space="preserve"> , </w:t>
      </w:r>
      <w:r w:rsidR="00EE7213">
        <w:t>202</w:t>
      </w:r>
      <w:r w:rsidR="00301C0D">
        <w:t>6</w:t>
      </w:r>
      <w:r>
        <w:t>.</w:t>
      </w:r>
    </w:p>
    <w:p w14:paraId="516541F2" w14:textId="77777777" w:rsidR="00D816AF" w:rsidRDefault="00D816AF">
      <w:pPr>
        <w:pStyle w:val="Normal-bill-sig"/>
      </w:pPr>
      <w:r>
        <w:tab/>
      </w:r>
      <w:r>
        <w:tab/>
      </w:r>
      <w:r>
        <w:tab/>
      </w:r>
      <w:r>
        <w:tab/>
      </w:r>
      <w:r>
        <w:tab/>
      </w:r>
      <w:r>
        <w:tab/>
      </w:r>
      <w:r>
        <w:tab/>
      </w:r>
      <w:r>
        <w:tab/>
        <w:t>COUNTY COUNCIL OF PRINCE</w:t>
      </w:r>
    </w:p>
    <w:p w14:paraId="349FC95D" w14:textId="77777777" w:rsidR="00D816AF" w:rsidRDefault="00D816AF">
      <w:pPr>
        <w:pStyle w:val="Normal-bill-sig"/>
        <w:ind w:firstLine="4392"/>
      </w:pPr>
      <w:r>
        <w:t xml:space="preserve">GEORGE'S COUNTY, </w:t>
      </w:r>
      <w:smartTag w:uri="urn:schemas-microsoft-com:office:smarttags" w:element="place">
        <w:smartTag w:uri="urn:schemas-microsoft-com:office:smarttags" w:element="State">
          <w:r>
            <w:t>MARYLAND</w:t>
          </w:r>
        </w:smartTag>
      </w:smartTag>
    </w:p>
    <w:p w14:paraId="70FCD690" w14:textId="77777777" w:rsidR="00D816AF" w:rsidRDefault="00D816AF">
      <w:pPr>
        <w:pStyle w:val="Normal-bill-sig"/>
      </w:pPr>
    </w:p>
    <w:p w14:paraId="2EC05417" w14:textId="77777777" w:rsidR="00D816AF" w:rsidRDefault="00D816AF">
      <w:pPr>
        <w:pStyle w:val="Normal-bill-sig"/>
      </w:pPr>
    </w:p>
    <w:p w14:paraId="2366C0E9" w14:textId="77777777" w:rsidR="00D816AF" w:rsidRDefault="00D816AF">
      <w:pPr>
        <w:pStyle w:val="Normal-bill-sig"/>
      </w:pPr>
    </w:p>
    <w:p w14:paraId="38037A38" w14:textId="77777777" w:rsidR="00D816AF" w:rsidRDefault="00D816AF">
      <w:pPr>
        <w:pStyle w:val="Normal-bill-sig"/>
      </w:pPr>
      <w:r>
        <w:tab/>
      </w:r>
      <w:r>
        <w:tab/>
      </w:r>
      <w:r>
        <w:tab/>
      </w:r>
      <w:r>
        <w:tab/>
      </w:r>
      <w:r>
        <w:tab/>
      </w:r>
      <w:r>
        <w:tab/>
      </w:r>
      <w:r>
        <w:tab/>
        <w:t>BY:</w:t>
      </w:r>
      <w:r>
        <w:tab/>
        <w:t>_________________________________</w:t>
      </w:r>
    </w:p>
    <w:p w14:paraId="78748C6F" w14:textId="55BBAF7B" w:rsidR="00B35C90" w:rsidRDefault="00D54FC1" w:rsidP="00B35C90">
      <w:pPr>
        <w:pStyle w:val="Normal-bill-sig"/>
        <w:ind w:firstLine="4392"/>
      </w:pPr>
      <w:r w:rsidRPr="00D54FC1">
        <w:t>Krystal Oriadha</w:t>
      </w:r>
    </w:p>
    <w:p w14:paraId="2A3C7337" w14:textId="77777777" w:rsidR="00B35C90" w:rsidRDefault="00B35C90" w:rsidP="00B35C90">
      <w:pPr>
        <w:pStyle w:val="Normal-bill-sig"/>
        <w:ind w:firstLine="4392"/>
      </w:pPr>
      <w:r>
        <w:t>Chair</w:t>
      </w:r>
    </w:p>
    <w:p w14:paraId="6C1CC63E" w14:textId="77777777" w:rsidR="00D87C19" w:rsidRDefault="00D87C19">
      <w:pPr>
        <w:pStyle w:val="Normal-bill-sig"/>
      </w:pPr>
    </w:p>
    <w:p w14:paraId="26EE1A62" w14:textId="77777777" w:rsidR="00D816AF" w:rsidRDefault="00D816AF">
      <w:pPr>
        <w:pStyle w:val="Normal-bill-sig"/>
      </w:pPr>
      <w:r>
        <w:t>ATTEST:</w:t>
      </w:r>
    </w:p>
    <w:p w14:paraId="1776DDC6" w14:textId="77777777" w:rsidR="00D816AF" w:rsidRDefault="00D816AF">
      <w:pPr>
        <w:pStyle w:val="Normal-bill-sig"/>
      </w:pPr>
    </w:p>
    <w:p w14:paraId="4626A2F0" w14:textId="77777777" w:rsidR="00D816AF" w:rsidRDefault="00D816AF">
      <w:pPr>
        <w:pStyle w:val="Normal-bill-sig"/>
      </w:pPr>
    </w:p>
    <w:p w14:paraId="534598E5" w14:textId="77777777" w:rsidR="00D816AF" w:rsidRDefault="00D816AF">
      <w:pPr>
        <w:pStyle w:val="Normal-bill-sig"/>
      </w:pPr>
    </w:p>
    <w:p w14:paraId="30075C83" w14:textId="77777777" w:rsidR="00D816AF" w:rsidRDefault="00D816AF">
      <w:pPr>
        <w:pStyle w:val="Normal-bill-sig"/>
      </w:pPr>
      <w:r>
        <w:t>______________________________</w:t>
      </w:r>
    </w:p>
    <w:p w14:paraId="2574E6D5" w14:textId="77777777" w:rsidR="00D816AF" w:rsidRDefault="00EA72D1">
      <w:pPr>
        <w:pStyle w:val="Normal-bill-sig"/>
      </w:pPr>
      <w:r>
        <w:t>Donna J. Brown</w:t>
      </w:r>
    </w:p>
    <w:p w14:paraId="10C839AC" w14:textId="77777777" w:rsidR="00D816AF" w:rsidRDefault="00D816AF">
      <w:pPr>
        <w:pStyle w:val="Normal-bill-sig"/>
      </w:pPr>
      <w:r>
        <w:t>Clerk of the Council</w:t>
      </w:r>
    </w:p>
    <w:p w14:paraId="6C59291D" w14:textId="77777777" w:rsidR="00D816AF" w:rsidRDefault="00D816AF">
      <w:pPr>
        <w:pStyle w:val="Single"/>
        <w:widowControl w:val="0"/>
      </w:pPr>
    </w:p>
    <w:p w14:paraId="5C1CE696" w14:textId="5A0526D2" w:rsidR="00D816AF" w:rsidRDefault="00D816AF">
      <w:pPr>
        <w:pStyle w:val="Single"/>
        <w:widowControl w:val="0"/>
      </w:pPr>
    </w:p>
    <w:sectPr w:rsidR="00D816AF">
      <w:type w:val="continuous"/>
      <w:pgSz w:w="12240" w:h="15840" w:code="1"/>
      <w:pgMar w:top="1584" w:right="1152" w:bottom="1152" w:left="1728" w:header="864" w:footer="5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27317" w14:textId="77777777" w:rsidR="006569CD" w:rsidRDefault="006569CD">
      <w:r>
        <w:separator/>
      </w:r>
    </w:p>
  </w:endnote>
  <w:endnote w:type="continuationSeparator" w:id="0">
    <w:p w14:paraId="288BEF48" w14:textId="77777777" w:rsidR="006569CD" w:rsidRDefault="0065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DDF82" w14:textId="77777777" w:rsidR="00D816AF" w:rsidRDefault="00D816AF">
    <w:pPr>
      <w:jc w:val="center"/>
    </w:pPr>
    <w:r>
      <w:fldChar w:fldCharType="begin"/>
    </w:r>
    <w:r>
      <w:instrText xml:space="preserve"> PAGE </w:instrText>
    </w:r>
    <w:r>
      <w:fldChar w:fldCharType="separate"/>
    </w:r>
    <w:r w:rsidR="006D4E1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652BD" w14:textId="77777777" w:rsidR="006569CD" w:rsidRDefault="006569CD">
      <w:r>
        <w:separator/>
      </w:r>
    </w:p>
  </w:footnote>
  <w:footnote w:type="continuationSeparator" w:id="0">
    <w:p w14:paraId="6B85D86C" w14:textId="77777777" w:rsidR="006569CD" w:rsidRDefault="00656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7A9C3" w14:textId="13EB3CA7" w:rsidR="00D816AF" w:rsidRDefault="00EE7213">
    <w:pPr>
      <w:pStyle w:val="Header"/>
    </w:pPr>
    <w:r>
      <w:rPr>
        <w:noProof/>
      </w:rPr>
      <mc:AlternateContent>
        <mc:Choice Requires="wps">
          <w:drawing>
            <wp:anchor distT="0" distB="0" distL="114300" distR="114300" simplePos="0" relativeHeight="251657216" behindDoc="0" locked="0" layoutInCell="1" allowOverlap="1" wp14:anchorId="4576CB43" wp14:editId="0AE8B1A3">
              <wp:simplePos x="0" y="0"/>
              <wp:positionH relativeFrom="column">
                <wp:posOffset>-182880</wp:posOffset>
              </wp:positionH>
              <wp:positionV relativeFrom="paragraph">
                <wp:posOffset>421005</wp:posOffset>
              </wp:positionV>
              <wp:extent cx="0" cy="822960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A3DD5"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33.15pt" to="-14.4pt,6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" strokeweight="2.76pt">
              <v:stroke linestyle="thinThin"/>
            </v:line>
          </w:pict>
        </mc:Fallback>
      </mc:AlternateContent>
    </w:r>
    <w:r w:rsidR="00D816AF">
      <w:t>CR-</w:t>
    </w:r>
    <w:r w:rsidR="002016B5">
      <w:t>074</w:t>
    </w:r>
    <w:r w:rsidR="00D816AF">
      <w:t>-</w:t>
    </w:r>
    <w:r>
      <w:t>202</w:t>
    </w:r>
    <w:r w:rsidR="00301C0D">
      <w:t>6</w:t>
    </w:r>
    <w:r w:rsidR="00D816AF">
      <w:t xml:space="preserve"> (DR-1)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D1E0E" w14:textId="6EAA44E3" w:rsidR="009906CA" w:rsidRDefault="00EE7213">
    <w:pPr>
      <w:pStyle w:val="Header"/>
    </w:pPr>
    <w:r>
      <w:rPr>
        <w:noProof/>
      </w:rPr>
      <mc:AlternateContent>
        <mc:Choice Requires="wps">
          <w:drawing>
            <wp:anchor distT="0" distB="0" distL="114300" distR="114300" simplePos="0" relativeHeight="251658240" behindDoc="0" locked="0" layoutInCell="1" allowOverlap="1" wp14:anchorId="796097A3" wp14:editId="19C3268A">
              <wp:simplePos x="0" y="0"/>
              <wp:positionH relativeFrom="column">
                <wp:posOffset>-140970</wp:posOffset>
              </wp:positionH>
              <wp:positionV relativeFrom="paragraph">
                <wp:posOffset>482600</wp:posOffset>
              </wp:positionV>
              <wp:extent cx="0" cy="822960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B9527"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pt,38pt" to="-11.1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" strokeweight="2.76pt">
              <v:stroke linestyle="thinThin"/>
            </v:line>
          </w:pict>
        </mc:Fallback>
      </mc:AlternateContent>
    </w:r>
    <w:r w:rsidR="009906CA">
      <w:t>DR-1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144C3"/>
    <w:multiLevelType w:val="hybridMultilevel"/>
    <w:tmpl w:val="C66233D2"/>
    <w:lvl w:ilvl="0" w:tplc="48EABC98">
      <w:start w:val="1"/>
      <w:numFmt w:val="lowerLetter"/>
      <w:lvlText w:val="(%1)"/>
      <w:lvlJc w:val="left"/>
      <w:pPr>
        <w:ind w:left="2304" w:hanging="360"/>
      </w:pPr>
      <w:rPr>
        <w:rFonts w:hint="default"/>
      </w:rPr>
    </w:lvl>
    <w:lvl w:ilvl="1" w:tplc="04090019">
      <w:start w:val="1"/>
      <w:numFmt w:val="lowerLetter"/>
      <w:lvlText w:val="%2."/>
      <w:lvlJc w:val="left"/>
      <w:pPr>
        <w:ind w:left="3024" w:hanging="360"/>
      </w:pPr>
    </w:lvl>
    <w:lvl w:ilvl="2" w:tplc="0409001B" w:tentative="1">
      <w:start w:val="1"/>
      <w:numFmt w:val="lowerRoman"/>
      <w:lvlText w:val="%3."/>
      <w:lvlJc w:val="right"/>
      <w:pPr>
        <w:ind w:left="3744" w:hanging="180"/>
      </w:pPr>
    </w:lvl>
    <w:lvl w:ilvl="3" w:tplc="0409000F" w:tentative="1">
      <w:start w:val="1"/>
      <w:numFmt w:val="decimal"/>
      <w:lvlText w:val="%4."/>
      <w:lvlJc w:val="left"/>
      <w:pPr>
        <w:ind w:left="4464" w:hanging="360"/>
      </w:pPr>
    </w:lvl>
    <w:lvl w:ilvl="4" w:tplc="04090019" w:tentative="1">
      <w:start w:val="1"/>
      <w:numFmt w:val="lowerLetter"/>
      <w:lvlText w:val="%5."/>
      <w:lvlJc w:val="left"/>
      <w:pPr>
        <w:ind w:left="5184" w:hanging="360"/>
      </w:pPr>
    </w:lvl>
    <w:lvl w:ilvl="5" w:tplc="0409001B" w:tentative="1">
      <w:start w:val="1"/>
      <w:numFmt w:val="lowerRoman"/>
      <w:lvlText w:val="%6."/>
      <w:lvlJc w:val="right"/>
      <w:pPr>
        <w:ind w:left="5904" w:hanging="180"/>
      </w:pPr>
    </w:lvl>
    <w:lvl w:ilvl="6" w:tplc="0409000F" w:tentative="1">
      <w:start w:val="1"/>
      <w:numFmt w:val="decimal"/>
      <w:lvlText w:val="%7."/>
      <w:lvlJc w:val="left"/>
      <w:pPr>
        <w:ind w:left="6624" w:hanging="360"/>
      </w:pPr>
    </w:lvl>
    <w:lvl w:ilvl="7" w:tplc="04090019" w:tentative="1">
      <w:start w:val="1"/>
      <w:numFmt w:val="lowerLetter"/>
      <w:lvlText w:val="%8."/>
      <w:lvlJc w:val="left"/>
      <w:pPr>
        <w:ind w:left="7344" w:hanging="360"/>
      </w:pPr>
    </w:lvl>
    <w:lvl w:ilvl="8" w:tplc="0409001B" w:tentative="1">
      <w:start w:val="1"/>
      <w:numFmt w:val="lowerRoman"/>
      <w:lvlText w:val="%9."/>
      <w:lvlJc w:val="right"/>
      <w:pPr>
        <w:ind w:left="8064" w:hanging="180"/>
      </w:pPr>
    </w:lvl>
  </w:abstractNum>
  <w:abstractNum w:abstractNumId="1" w15:restartNumberingAfterBreak="0">
    <w:nsid w:val="29C93D1C"/>
    <w:multiLevelType w:val="hybridMultilevel"/>
    <w:tmpl w:val="CE60B360"/>
    <w:lvl w:ilvl="0" w:tplc="87E037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B212674"/>
    <w:multiLevelType w:val="hybridMultilevel"/>
    <w:tmpl w:val="2D4ACF5E"/>
    <w:lvl w:ilvl="0" w:tplc="DB9A615A">
      <w:start w:val="1"/>
      <w:numFmt w:val="decimal"/>
      <w:lvlText w:val="(%1)"/>
      <w:lvlJc w:val="left"/>
      <w:pPr>
        <w:ind w:left="1944" w:hanging="504"/>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0584597">
    <w:abstractNumId w:val="1"/>
  </w:num>
  <w:num w:numId="2" w16cid:durableId="587270737">
    <w:abstractNumId w:val="2"/>
  </w:num>
  <w:num w:numId="3" w16cid:durableId="398795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842"/>
    <w:rsid w:val="00031AAF"/>
    <w:rsid w:val="00045755"/>
    <w:rsid w:val="00062915"/>
    <w:rsid w:val="0007391D"/>
    <w:rsid w:val="00076975"/>
    <w:rsid w:val="000D46E3"/>
    <w:rsid w:val="001111EC"/>
    <w:rsid w:val="00140565"/>
    <w:rsid w:val="00145B34"/>
    <w:rsid w:val="001702FB"/>
    <w:rsid w:val="00171052"/>
    <w:rsid w:val="0019072E"/>
    <w:rsid w:val="0019136F"/>
    <w:rsid w:val="001E6D9E"/>
    <w:rsid w:val="002016B5"/>
    <w:rsid w:val="00242E78"/>
    <w:rsid w:val="00254577"/>
    <w:rsid w:val="002A3FE8"/>
    <w:rsid w:val="00301C0D"/>
    <w:rsid w:val="003446CF"/>
    <w:rsid w:val="003D0EB0"/>
    <w:rsid w:val="003E0425"/>
    <w:rsid w:val="00424C73"/>
    <w:rsid w:val="0045083A"/>
    <w:rsid w:val="00496AA7"/>
    <w:rsid w:val="004B6E26"/>
    <w:rsid w:val="004B7EC3"/>
    <w:rsid w:val="004C2E9C"/>
    <w:rsid w:val="005051CD"/>
    <w:rsid w:val="00532123"/>
    <w:rsid w:val="00546EEE"/>
    <w:rsid w:val="00551E7B"/>
    <w:rsid w:val="00551EAB"/>
    <w:rsid w:val="005B01FA"/>
    <w:rsid w:val="005B1167"/>
    <w:rsid w:val="005C6891"/>
    <w:rsid w:val="005D0024"/>
    <w:rsid w:val="006547F1"/>
    <w:rsid w:val="006569CD"/>
    <w:rsid w:val="006D4E1A"/>
    <w:rsid w:val="006E409F"/>
    <w:rsid w:val="0070041C"/>
    <w:rsid w:val="00701E02"/>
    <w:rsid w:val="007432D1"/>
    <w:rsid w:val="007628D2"/>
    <w:rsid w:val="00773540"/>
    <w:rsid w:val="007E3F2C"/>
    <w:rsid w:val="007F73CA"/>
    <w:rsid w:val="0083646B"/>
    <w:rsid w:val="00837CE7"/>
    <w:rsid w:val="00842842"/>
    <w:rsid w:val="008822B7"/>
    <w:rsid w:val="008873B5"/>
    <w:rsid w:val="008C11D6"/>
    <w:rsid w:val="00917BCA"/>
    <w:rsid w:val="00933E21"/>
    <w:rsid w:val="00946EB4"/>
    <w:rsid w:val="009649A4"/>
    <w:rsid w:val="009906CA"/>
    <w:rsid w:val="009956CE"/>
    <w:rsid w:val="00997AC0"/>
    <w:rsid w:val="009A6B55"/>
    <w:rsid w:val="009C799F"/>
    <w:rsid w:val="00A04FD5"/>
    <w:rsid w:val="00A316BE"/>
    <w:rsid w:val="00A4680F"/>
    <w:rsid w:val="00B35C90"/>
    <w:rsid w:val="00B41E7E"/>
    <w:rsid w:val="00B61DB6"/>
    <w:rsid w:val="00B627D6"/>
    <w:rsid w:val="00B763E9"/>
    <w:rsid w:val="00BC453D"/>
    <w:rsid w:val="00BE2D4A"/>
    <w:rsid w:val="00BF7F63"/>
    <w:rsid w:val="00C91ADB"/>
    <w:rsid w:val="00D52B40"/>
    <w:rsid w:val="00D54FC1"/>
    <w:rsid w:val="00D57DC9"/>
    <w:rsid w:val="00D76A83"/>
    <w:rsid w:val="00D816AF"/>
    <w:rsid w:val="00D86468"/>
    <w:rsid w:val="00D87C19"/>
    <w:rsid w:val="00D956D4"/>
    <w:rsid w:val="00DA4258"/>
    <w:rsid w:val="00DE53D4"/>
    <w:rsid w:val="00E03B78"/>
    <w:rsid w:val="00E4143C"/>
    <w:rsid w:val="00EA72D1"/>
    <w:rsid w:val="00EE7213"/>
    <w:rsid w:val="00EF68FF"/>
    <w:rsid w:val="00F35BB9"/>
    <w:rsid w:val="00F4038E"/>
    <w:rsid w:val="00F40C21"/>
    <w:rsid w:val="00F53540"/>
    <w:rsid w:val="00F54FA1"/>
    <w:rsid w:val="00F710F6"/>
    <w:rsid w:val="00F74285"/>
    <w:rsid w:val="00FD5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3D688F00"/>
  <w15:chartTrackingRefBased/>
  <w15:docId w15:val="{CC09A82A-DDC6-437E-A4D7-228BAA2B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tabs>
        <w:tab w:val="left" w:pos="504"/>
        <w:tab w:val="left" w:pos="936"/>
        <w:tab w:val="left" w:pos="1440"/>
        <w:tab w:val="left" w:pos="1944"/>
        <w:tab w:val="left" w:pos="2462"/>
        <w:tab w:val="left" w:pos="3053"/>
      </w:tabs>
      <w:spacing w:line="36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504"/>
        <w:tab w:val="clear" w:pos="936"/>
        <w:tab w:val="clear" w:pos="1440"/>
        <w:tab w:val="clear" w:pos="1944"/>
        <w:tab w:val="clear" w:pos="2462"/>
        <w:tab w:val="clear" w:pos="3053"/>
      </w:tabs>
      <w:jc w:val="right"/>
    </w:pPr>
  </w:style>
  <w:style w:type="paragraph" w:customStyle="1" w:styleId="Single">
    <w:name w:val="Single"/>
    <w:basedOn w:val="Normal"/>
    <w:pPr>
      <w:widowControl/>
      <w:spacing w:line="240" w:lineRule="auto"/>
    </w:pPr>
  </w:style>
  <w:style w:type="paragraph" w:customStyle="1" w:styleId="Title-Table">
    <w:name w:val="Title-Table"/>
    <w:basedOn w:val="Normal"/>
    <w:pPr>
      <w:tabs>
        <w:tab w:val="clear" w:pos="504"/>
        <w:tab w:val="clear" w:pos="936"/>
        <w:tab w:val="clear" w:pos="1440"/>
        <w:tab w:val="clear" w:pos="1944"/>
        <w:tab w:val="clear" w:pos="2462"/>
        <w:tab w:val="clear" w:pos="3053"/>
      </w:tabs>
      <w:suppressAutoHyphens/>
      <w:spacing w:line="432" w:lineRule="exact"/>
    </w:pPr>
    <w:rPr>
      <w:snapToGrid w:val="0"/>
    </w:rPr>
  </w:style>
  <w:style w:type="paragraph" w:styleId="Footer">
    <w:name w:val="footer"/>
    <w:basedOn w:val="Normal"/>
    <w:pPr>
      <w:tabs>
        <w:tab w:val="clear" w:pos="504"/>
        <w:tab w:val="clear" w:pos="936"/>
        <w:tab w:val="clear" w:pos="1440"/>
        <w:tab w:val="clear" w:pos="1944"/>
        <w:tab w:val="clear" w:pos="2462"/>
        <w:tab w:val="clear" w:pos="3053"/>
        <w:tab w:val="center" w:pos="4320"/>
        <w:tab w:val="right" w:pos="8640"/>
      </w:tabs>
    </w:pPr>
  </w:style>
  <w:style w:type="paragraph" w:styleId="Title">
    <w:name w:val="Title"/>
    <w:basedOn w:val="Normal"/>
    <w:qFormat/>
    <w:pPr>
      <w:jc w:val="center"/>
    </w:pPr>
    <w:rPr>
      <w:b/>
    </w:rPr>
  </w:style>
  <w:style w:type="paragraph" w:customStyle="1" w:styleId="Normal-bill-sig">
    <w:name w:val="Normal-bill-sig"/>
    <w:basedOn w:val="Normal"/>
    <w:pPr>
      <w:widowControl/>
      <w:tabs>
        <w:tab w:val="left" w:pos="3888"/>
        <w:tab w:val="left" w:pos="4392"/>
      </w:tabs>
      <w:spacing w:line="240" w:lineRule="auto"/>
    </w:pPr>
  </w:style>
  <w:style w:type="character" w:styleId="LineNumber">
    <w:name w:val="line number"/>
    <w:basedOn w:val="DefaultParagraphFont"/>
  </w:style>
  <w:style w:type="paragraph" w:styleId="BalloonText">
    <w:name w:val="Balloon Text"/>
    <w:basedOn w:val="Normal"/>
    <w:semiHidden/>
    <w:rsid w:val="0019136F"/>
    <w:rPr>
      <w:rFonts w:ascii="Tahoma" w:hAnsi="Tahoma" w:cs="Tahoma"/>
      <w:sz w:val="16"/>
      <w:szCs w:val="16"/>
    </w:rPr>
  </w:style>
  <w:style w:type="paragraph" w:styleId="ListParagraph">
    <w:name w:val="List Paragraph"/>
    <w:basedOn w:val="Normal"/>
    <w:uiPriority w:val="34"/>
    <w:qFormat/>
    <w:rsid w:val="005C68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14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e5dc8e7-6ecb-4abf-9ca3-81dfbc080b36}" enabled="1" method="Standard" siteId="{4146bdda-ddc1-4d2a-a1b2-1a64cc3c837b}"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7</Pages>
  <Words>2339</Words>
  <Characters>13337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COUNTY COUNCIL OF PRINCE GEORGE'S COUNTY, MARYLAND</vt:lpstr>
    </vt:vector>
  </TitlesOfParts>
  <Company>PG County Government</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COUNCIL OF PRINCE GEORGE'S COUNTY, MARYLAND</dc:title>
  <dc:subject/>
  <dc:creator>PGCOUNTY USER</dc:creator>
  <cp:keywords/>
  <dc:description/>
  <cp:lastModifiedBy>Reese, Edgar L.</cp:lastModifiedBy>
  <cp:revision>6</cp:revision>
  <cp:lastPrinted>2008-12-10T14:39:00Z</cp:lastPrinted>
  <dcterms:created xsi:type="dcterms:W3CDTF">2026-05-11T18:56:00Z</dcterms:created>
  <dcterms:modified xsi:type="dcterms:W3CDTF">2026-07-24T16:50:00Z</dcterms:modified>
</cp:coreProperties>
</file>